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96" w:history="1">
        <w:r>
          <w:rPr>
            <w:rFonts w:ascii="Arial" w:hAnsi="Arial" w:eastAsia="Arial" w:cs="Arial"/>
            <w:color w:val="155CAA"/>
            <w:u w:val="single"/>
          </w:rPr>
          <w:t xml:space="preserve">1 Brf Burgercomite Nederland, Volksreferendum buiten de Kieswet, zaaknr 592254, 20181029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96"/>
      <w:r w:rsidRPr="00A448AC">
        <w:rPr>
          <w:rFonts w:ascii="Arial" w:hAnsi="Arial" w:cs="Arial"/>
          <w:b/>
          <w:bCs/>
          <w:color w:val="303F4C"/>
          <w:lang w:val="en-US"/>
        </w:rPr>
        <w:t>Brf Burgercomite Nederland, Volksreferendum buiten de Kieswet, zaaknr 592254, 20181029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 10:52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Burgercomite Nederland, Volksreferendum buiten de Kieswet, zaaknr 592254, 20181029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Burgercomite-Nederland-Volksreferendum-buiten-de-Kieswet-zaaknr-592254-2018102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