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93" w:history="1">
        <w:r>
          <w:rPr>
            <w:rFonts w:ascii="Arial" w:hAnsi="Arial" w:eastAsia="Arial" w:cs="Arial"/>
            <w:color w:val="155CAA"/>
            <w:u w:val="single"/>
          </w:rPr>
          <w:t xml:space="preserve">1 Lbr VNG, 23-026, Ledenraadpleging inzet Cao Gemeenten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93"/>
      <w:r w:rsidRPr="00A448AC">
        <w:rPr>
          <w:rFonts w:ascii="Arial" w:hAnsi="Arial" w:cs="Arial"/>
          <w:b/>
          <w:bCs/>
          <w:color w:val="303F4C"/>
          <w:lang w:val="en-US"/>
        </w:rPr>
        <w:t>Lbr VNG, 23-026, Ledenraadpleging inzet Cao Gemeenten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23-026, Ledenraadpleging inzet Cao Gemeenten 2024, 20230703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26-Ledenraadpleging-inzet-Cao-Gemeenten-2024-202307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