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7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18:21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43123" text:style-name="Internet_20_link" text:visited-style-name="Visited_20_Internet_20_Link">
              <text:span text:style-name="ListLabel_20_28">
                <text:span text:style-name="T8">1 Lbr VNG, 23-014, Principeakkoord hervormingsagenda jeugd</text:span>
              </text:span>
            </text:a>
          </text:p>
        </text:list-item>
        <text:list-item>
          <text:p text:style-name="P2" loext:marker-style-name="T5">
            <text:a xlink:type="simple" xlink:href="#43122" text:style-name="Internet_20_link" text:visited-style-name="Visited_20_Internet_20_Link">
              <text:span text:style-name="ListLabel_20_28">
                <text:span text:style-name="T8">2 Lbr VNG, 23-013, Uitvoeringsmiddelen energietransitie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123"/>
        Lbr VNG, 23-014, Principeakkoord hervormingsagenda jeugd
        <text:bookmark-end text:name="43123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24-04-2023 13:34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23-014, Principeakkoord hervormingsagenda jeugd, zaaknr 635645
              <text:span text:style-name="T3"/>
            </text:p>
            <text:p text:style-name="P7"/>
          </table:table-cell>
          <table:table-cell table:style-name="Table4.A2" office:value-type="string">
            <text:p text:style-name="P8">24-04-2023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263,33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3-014-Principeakkoord-hervormingsagenda-jeugd-zaaknr-63564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122"/>
        Lbr VNG, 23-013, Uitvoeringsmiddelen energietransitie
        <text:bookmark-end text:name="43122"/>
      </text:h>
      <text:p text:style-name="P27">
        <draw:frame draw:style-name="fr2" draw:name="Image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24-04-2023 12:58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Lbr VNG, 23-013, Uitvoeringsmiddelen energietransitie, zaaknr 635226
              <text:span text:style-name="T3"/>
            </text:p>
            <text:p text:style-name="P7"/>
          </table:table-cell>
          <table:table-cell table:style-name="Table6.A2" office:value-type="string">
            <text:p text:style-name="P8">24-04-2023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145,34 KB</text:p>
          </table:table-cell>
          <table:table-cell table:style-name="Table6.A2" office:value-type="string">
            <text:p text:style-name="P33">
              <text:a xlink:type="simple" xlink:href="https://ris.dalfsen.nl//Raadsinformatie/Bijlage/Lbr-VNG-23-013-Uitvoeringsmiddelen-energietransitie-zaaknr-635226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8" meta:object-count="0" meta:page-count="2" meta:paragraph-count="47" meta:word-count="116" meta:character-count="839" meta:non-whitespace-character-count="7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2078252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2078252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