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98" w:history="1">
        <w:r>
          <w:rPr>
            <w:rFonts w:ascii="Arial" w:hAnsi="Arial" w:eastAsia="Arial" w:cs="Arial"/>
            <w:color w:val="155CAA"/>
            <w:u w:val="single"/>
          </w:rPr>
          <w:t xml:space="preserve">1 Lbr VNG, 22-026, Ontwikkelingen Oekraïne, zaaknr 659048, 20220428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97" w:history="1">
        <w:r>
          <w:rPr>
            <w:rFonts w:ascii="Arial" w:hAnsi="Arial" w:eastAsia="Arial" w:cs="Arial"/>
            <w:color w:val="155CAA"/>
            <w:u w:val="single"/>
          </w:rPr>
          <w:t xml:space="preserve">2 Brf Provincie Overijssel, Informatie voor uw begroting 2023 en meerjarenraming 2024-2026, zaaknr 658634, 20220428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89" w:history="1">
        <w:r>
          <w:rPr>
            <w:rFonts w:ascii="Arial" w:hAnsi="Arial" w:eastAsia="Arial" w:cs="Arial"/>
            <w:color w:val="155CAA"/>
            <w:u w:val="single"/>
          </w:rPr>
          <w:t xml:space="preserve">3 Lbr VNG, 2022-023, Ontwikkelingen Oekraine, zaaknr 658007, 20220419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70" w:history="1">
        <w:r>
          <w:rPr>
            <w:rFonts w:ascii="Arial" w:hAnsi="Arial" w:eastAsia="Arial" w:cs="Arial"/>
            <w:color w:val="155CAA"/>
            <w:u w:val="single"/>
          </w:rPr>
          <w:t xml:space="preserve">4 Lbr VNG, 22-021, Ontwikkelingen Oekraine, zaaknr 656762, 20220405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98"/>
      <w:r w:rsidRPr="00A448AC">
        <w:rPr>
          <w:rFonts w:ascii="Arial" w:hAnsi="Arial" w:cs="Arial"/>
          <w:b/>
          <w:bCs/>
          <w:color w:val="303F4C"/>
          <w:lang w:val="en-US"/>
        </w:rPr>
        <w:t>Lbr VNG, 22-026, Ontwikkelingen Oekraïne, zaaknr 659048, 20220428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 10:08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22-026, Ontwikkelingen Oekraïne, zaaknr 659048, 20220428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97"/>
      <w:r w:rsidRPr="00A448AC">
        <w:rPr>
          <w:rFonts w:ascii="Arial" w:hAnsi="Arial" w:cs="Arial"/>
          <w:b/>
          <w:bCs/>
          <w:color w:val="303F4C"/>
          <w:lang w:val="en-US"/>
        </w:rPr>
        <w:t>Brf Provincie Overijssel, Informatie voor uw begroting 2023 en meerjarenraming 2024-2026, zaaknr 658634, 20220428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Provincie Overijssel, Informatie voor uw begroting 2023 en meerjarenraming 2024-2026, zaaknr 658634, 20220428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89"/>
      <w:r w:rsidRPr="00A448AC">
        <w:rPr>
          <w:rFonts w:ascii="Arial" w:hAnsi="Arial" w:cs="Arial"/>
          <w:b/>
          <w:bCs/>
          <w:color w:val="303F4C"/>
          <w:lang w:val="en-US"/>
        </w:rPr>
        <w:t>Lbr VNG, 2022-023, Ontwikkelingen Oekraine, zaaknr 658007, 20220419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2022-023, Ontwikkelingen Oekraine, zaaknr 658007, 20220419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70"/>
      <w:r w:rsidRPr="00A448AC">
        <w:rPr>
          <w:rFonts w:ascii="Arial" w:hAnsi="Arial" w:cs="Arial"/>
          <w:b/>
          <w:bCs/>
          <w:color w:val="303F4C"/>
          <w:lang w:val="en-US"/>
        </w:rPr>
        <w:t>Lbr VNG, 22-021, Ontwikkelingen Oekraine, zaaknr 656762, 20220405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22-021, Ontwikkelingen Oekraine, zaaknr 656762, 20220405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26-Ontwikkelingen-Oekraine-zaaknr-659048-20220428.pdf" TargetMode="External" /><Relationship Id="rId25" Type="http://schemas.openxmlformats.org/officeDocument/2006/relationships/hyperlink" Target="https://ris.dalfsen.nl//Raadsinformatie/Bijlage/Brf-Provincie-Overijssel-Informatie-voor-uw-begroting-2023-en-meerjarenraming-2024-2026-zaaknr-658634-20220428.pdf" TargetMode="External" /><Relationship Id="rId26" Type="http://schemas.openxmlformats.org/officeDocument/2006/relationships/hyperlink" Target="https://ris.dalfsen.nl//Raadsinformatie/Bijlage/Lbr-VNG-2022-023-Ontwikkelingen-Oekraine-zaaknr-658007-20220419.pdf" TargetMode="External" /><Relationship Id="rId27" Type="http://schemas.openxmlformats.org/officeDocument/2006/relationships/hyperlink" Target="https://ris.dalfsen.nl//Raadsinformatie/Bijlage/Lbr-VNG-22-021-Ontwikkelingen-Oekraine-zaaknr-656762-202204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