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2" w:history="1">
        <w:r>
          <w:rPr>
            <w:rFonts w:ascii="Arial" w:hAnsi="Arial" w:eastAsia="Arial" w:cs="Arial"/>
            <w:color w:val="155CAA"/>
            <w:u w:val="single"/>
          </w:rPr>
          <w:t xml:space="preserve">1 Brf, Inwoner, Kantmarkering bij fietspaden, 20221221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30" w:history="1">
        <w:r>
          <w:rPr>
            <w:rFonts w:ascii="Arial" w:hAnsi="Arial" w:eastAsia="Arial" w:cs="Arial"/>
            <w:color w:val="155CAA"/>
            <w:u w:val="single"/>
          </w:rPr>
          <w:t xml:space="preserve">2 Brf Werkgroep Vergroenen, Plan transformatie Buldersweg, zaaknr 678179, 20221219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3" w:history="1">
        <w:r>
          <w:rPr>
            <w:rFonts w:ascii="Arial" w:hAnsi="Arial" w:eastAsia="Arial" w:cs="Arial"/>
            <w:color w:val="155CAA"/>
            <w:u w:val="single"/>
          </w:rPr>
          <w:t xml:space="preserve">3 Lbr VNG, 22-066, Instrumenten overheidscommunicatie en digitale toegankelijkheid., zaaknr. 677545, 20121212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2" w:history="1">
        <w:r>
          <w:rPr>
            <w:rFonts w:ascii="Arial" w:hAnsi="Arial" w:eastAsia="Arial" w:cs="Arial"/>
            <w:color w:val="155CAA"/>
            <w:u w:val="single"/>
          </w:rPr>
          <w:t xml:space="preserve">4 Lbr VNG, 22-065, Ledenbrief Nationale programma's NOVEX, Woningbouw e.a., zaaknr 677179, 20121212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2"/>
      <w:r w:rsidRPr="00A448AC">
        <w:rPr>
          <w:rFonts w:ascii="Arial" w:hAnsi="Arial" w:cs="Arial"/>
          <w:b/>
          <w:bCs/>
          <w:color w:val="303F4C"/>
          <w:lang w:val="en-US"/>
        </w:rPr>
        <w:t>Brf, Inwoner, Kantmarkering bij fietspaden, 20221221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Inwoner, Kantmarkering bij fietspaden,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30"/>
      <w:r w:rsidRPr="00A448AC">
        <w:rPr>
          <w:rFonts w:ascii="Arial" w:hAnsi="Arial" w:cs="Arial"/>
          <w:b/>
          <w:bCs/>
          <w:color w:val="303F4C"/>
          <w:lang w:val="en-US"/>
        </w:rPr>
        <w:t>Brf Werkgroep Vergroenen, Plan transformatie Buldersweg, zaaknr 678179, 20221219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 15:32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Werkgroep Vergroenen, Plan transformatie Buldersweg, zaaknr 678179, 20221219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3"/>
      <w:r w:rsidRPr="00A448AC">
        <w:rPr>
          <w:rFonts w:ascii="Arial" w:hAnsi="Arial" w:cs="Arial"/>
          <w:b/>
          <w:bCs/>
          <w:color w:val="303F4C"/>
          <w:lang w:val="en-US"/>
        </w:rPr>
        <w:t>Lbr VNG, 22-066, Instrumenten overheidscommunicatie en digitale toegankelijkheid., zaaknr. 677545, 20121212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22-066, Instrumenten overheidscommunicatie en digitale toegankelijkheid., zaaknr. 677545, 20121212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2"/>
      <w:r w:rsidRPr="00A448AC">
        <w:rPr>
          <w:rFonts w:ascii="Arial" w:hAnsi="Arial" w:cs="Arial"/>
          <w:b/>
          <w:bCs/>
          <w:color w:val="303F4C"/>
          <w:lang w:val="en-US"/>
        </w:rPr>
        <w:t>Lbr VNG, 22-065, Ledenbrief Nationale programma's NOVEX, Woningbouw e.a., zaaknr 677179, 20121212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 15:58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22-065, Ledenbrief Nationale programma's NOVEX, Woningbouw e.a., zaaknr 677179, 20121212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Kantmarkering-bij-fietspaden-20221221.pdf" TargetMode="External" /><Relationship Id="rId25" Type="http://schemas.openxmlformats.org/officeDocument/2006/relationships/hyperlink" Target="https://ris.dalfsen.nl//Raadsinformatie/Bijlage/Brf-Werkgroep-Vergroenen-Plan-transformatie-Buldersweg-zaaknr-678179-20221219.pdf" TargetMode="External" /><Relationship Id="rId26" Type="http://schemas.openxmlformats.org/officeDocument/2006/relationships/hyperlink" Target="https://ris.dalfsen.nl//Raadsinformatie/Bijlage/Lbr-VNG-22-066-Instrumenten-overheidscommunicatie-en-digitale-toegankelijkheid-zaaknr-677545-20121212.pdf" TargetMode="External" /><Relationship Id="rId27" Type="http://schemas.openxmlformats.org/officeDocument/2006/relationships/hyperlink" Target="https://ris.dalfsen.nl//Raadsinformatie/Bijlage/Lbr-VNG-22-065-Ledenbrief-Nationale-programma-s-NOVEX-Woningbouw-e-a-zaaknr-677179-201212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