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81" text:style-name="Internet_20_link" text:visited-style-name="Visited_20_Internet_20_Link">
              <text:span text:style-name="ListLabel_20_28">
                <text:span text:style-name="T8">1 Lbr VNG 21-016, Standaardverklaring-per-1-4-2021-api-standaarden-voor-zaakgericht-werken, zaaknr 631360, 20120309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81"/>
        Lbr VNG 21-016, Standaardverklaring-per-1-4-2021-api-standaarden-voor-zaakgericht-werken, zaaknr 631360, 20120309
        <text:bookmark-end text:name="423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30-03-2021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21-016, Standaardverklaring-per-1-4-2021-api-standaarden-voor-zaakgericht-werken, zaaknr 631360, 20120309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261,18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16-Standaardverklaring-per-1-4-2021-api-standaarden-voor-zaakgericht-werken-zaaknr-631360-201203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625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