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46" w:history="1">
        <w:r>
          <w:rPr>
            <w:rFonts w:ascii="Arial" w:hAnsi="Arial" w:eastAsia="Arial" w:cs="Arial"/>
            <w:color w:val="155CAA"/>
            <w:u w:val="single"/>
          </w:rPr>
          <w:t xml:space="preserve">1 Brf FvR, verbod op oplaten ballonnen, zaaknr 596674, 20190204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48" w:history="1">
        <w:r>
          <w:rPr>
            <w:rFonts w:ascii="Arial" w:hAnsi="Arial" w:eastAsia="Arial" w:cs="Arial"/>
            <w:color w:val="155CAA"/>
            <w:u w:val="single"/>
          </w:rPr>
          <w:t xml:space="preserve">2 Brf Union SV, Hybride sportveld, zaaknr 598022, 20190228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46"/>
      <w:r w:rsidRPr="00A448AC">
        <w:rPr>
          <w:rFonts w:ascii="Arial" w:hAnsi="Arial" w:cs="Arial"/>
          <w:b/>
          <w:bCs/>
          <w:color w:val="303F4C"/>
          <w:lang w:val="en-US"/>
        </w:rPr>
        <w:t>Brf FvR, verbod op oplaten ballonnen, zaaknr 596674, 20190204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FvR, verbod op oplaten ballonnen, zaaknr 596674, 20190204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48"/>
      <w:r w:rsidRPr="00A448AC">
        <w:rPr>
          <w:rFonts w:ascii="Arial" w:hAnsi="Arial" w:cs="Arial"/>
          <w:b/>
          <w:bCs/>
          <w:color w:val="303F4C"/>
          <w:lang w:val="en-US"/>
        </w:rPr>
        <w:t>Brf Union SV, Hybride sportveld, zaaknr 598022, 20190228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Union SV, Hybride sportveld, zaaknr 598022, 20190228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FvR-verbod-op-oplaten-ballonnen-zaaknr-596674-20190204.pdf" TargetMode="External" /><Relationship Id="rId25" Type="http://schemas.openxmlformats.org/officeDocument/2006/relationships/hyperlink" Target="https://ris.dalfsen.nl//Raadsinformatie/Ingekomen-stuk/ter-afdoening-in-handen-van-het-college-stellen/Brf-Union-SV-Hybride-sportveld-zaaknr-598022-2019022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