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03" w:history="1">
        <w:r>
          <w:rPr>
            <w:rFonts w:ascii="Arial" w:hAnsi="Arial" w:eastAsia="Arial" w:cs="Arial"/>
            <w:color w:val="155CAA"/>
            <w:u w:val="single"/>
          </w:rPr>
          <w:t xml:space="preserve">1 Brf, Actiegroep Ons Zeker Belazeren, Oneens met verhoging OZB, zaaknr 593105, 20181115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01" w:history="1">
        <w:r>
          <w:rPr>
            <w:rFonts w:ascii="Arial" w:hAnsi="Arial" w:eastAsia="Arial" w:cs="Arial"/>
            <w:color w:val="155CAA"/>
            <w:u w:val="single"/>
          </w:rPr>
          <w:t xml:space="preserve">2 Brf Berlimont Consulting, Nietigheid WMO Afkoop, zaaknr 592836, 20181113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03"/>
      <w:r w:rsidRPr="00A448AC">
        <w:rPr>
          <w:rFonts w:ascii="Arial" w:hAnsi="Arial" w:cs="Arial"/>
          <w:b/>
          <w:bCs/>
          <w:color w:val="303F4C"/>
          <w:lang w:val="en-US"/>
        </w:rPr>
        <w:t>Brf, Actiegroep Ons Zeker Belazeren, Oneens met verhoging OZB, zaaknr 593105, 20181115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Actiegroep Ons Zeker Belazeren, Oneens met verhoging OZB, zaaknr 593105, 20181115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01"/>
      <w:r w:rsidRPr="00A448AC">
        <w:rPr>
          <w:rFonts w:ascii="Arial" w:hAnsi="Arial" w:cs="Arial"/>
          <w:b/>
          <w:bCs/>
          <w:color w:val="303F4C"/>
          <w:lang w:val="en-US"/>
        </w:rPr>
        <w:t>Brf Berlimont Consulting, Nietigheid WMO Afkoop, zaaknr 592836, 20181113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Berlimont Consulting, Nietigheid WMO Afkoop, zaaknr 592836, 20181113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Actiegroep-Ons-Zeker-Belazeren-Oneens-met-verhoging-OZB-zaaknr-593105-20181115.pdf" TargetMode="External" /><Relationship Id="rId25" Type="http://schemas.openxmlformats.org/officeDocument/2006/relationships/hyperlink" Target="https://ris.dalfsen.nl//Raadsinformatie/Ingekomen-stuk/ter-afdoening-in-handen-van-het-college-stellen/Brf-Berlimont-Consulting-Nietigheid-WMO-Afkoop-zaaknr-592836-201811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