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803" text:style-name="Internet_20_link" text:visited-style-name="Visited_20_Internet_20_Link">
              <text:span text:style-name="ListLabel_20_28">
                <text:span text:style-name="T8">1 Brf, Actiegroep Ons Zeker Belazeren, Oneens met verhoging OZB, zaaknr 593105, 20181115</text:span>
              </text:span>
            </text:a>
          </text:p>
        </text:list-item>
        <text:list-item>
          <text:p text:style-name="P2" loext:marker-style-name="T5">
            <text:a xlink:type="simple" xlink:href="#41801" text:style-name="Internet_20_link" text:visited-style-name="Visited_20_Internet_20_Link">
              <text:span text:style-name="ListLabel_20_28">
                <text:span text:style-name="T8">2 Brf Berlimont Consulting, Nietigheid WMO Afkoop, zaaknr 592836, 20181113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03"/>
        Brf, Actiegroep Ons Zeker Belazeren, Oneens met verhoging OZB, zaaknr 593105, 20181115
        <text:bookmark-end text:name="4180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Actiegroep Ons Zeker Belazeren, Oneens met verhoging OZB, zaaknr 593105, 20181115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Actiegroep-Ons-Zeker-Belazeren-Oneens-met-verhoging-OZB-zaaknr-593105-20181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01"/>
        Brf Berlimont Consulting, Nietigheid WMO Afkoop, zaaknr 592836, 20181113
        <text:bookmark-end text:name="4180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27-11-2018 10:53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
              Status
              <text:soft-page-break/>
            </text:p>
          </table:table-cell>
          <table:table-cell table:style-name="Table5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Berlimont Consulting, Nietigheid WMO Afkoop, zaaknr 592836, 20181113
              <text:span text:style-name="T3"/>
            </text:p>
            <text:p text:style-name="P7"/>
          </table:table-cell>
          <table:table-cell table:style-name="Table6.A2" office:value-type="string">
            <text:p text:style-name="P8">13-11-2018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Berlimont-Consulting-Nietigheid-WMO-Afkoop-zaaknr-592836-2018111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42" meta:character-count="954" meta:non-whitespace-character-count="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