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26" w:history="1">
        <w:r>
          <w:rPr>
            <w:rFonts w:ascii="Arial" w:hAnsi="Arial" w:eastAsia="Arial" w:cs="Arial"/>
            <w:color w:val="155CAA"/>
            <w:u w:val="single"/>
          </w:rPr>
          <w:t xml:space="preserve">1 Raad 27 mrt 2017 - Ingekomen stuk, St Nationale Boomfeestdag, Intentieverklaring bomenverdrag, nr 493365-125256, 20170227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26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St Nationale Boomfeestdag, Intentieverklaring bomenverdrag, nr 493365-125256, 20170227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St Nationale Boomfeestdag, Intentieverklaring bomenverdrag, nr 493365-125256, 20170227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7-mrt-2017-Ingekomen-stuk-St-Nationale-Boomfeestdag-Intentieverklaring-bomenverdrag-nr-493365-125256-201702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