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91" text:style-name="Internet_20_link" text:visited-style-name="Visited_20_Internet_20_Link">
              <text:span text:style-name="ListLabel_20_28">
                <text:span text:style-name="T8">1 20120911 Ingekomen stuk, CNV ea, Gemeentelijk beleid t.a.v. winkeltijdenwet en zondagopenstelling winkels, nr 5024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91"/>
        20120911 Ingekomen stuk, CNV ea, Gemeentelijk beleid t.a.v. winkeltijdenwet en zondagopenstelling winkels, nr 5024
        <text:bookmark-end text:name="408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20120911 Ingekomen stuk, CNV ea, gemeentelijk beleid winkeltijdenwet en zondagsopenstellingen, nr 5024.pdf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466,76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911-Ingekomen-stuk--CNV-ea--gemeentelijk-beleid-winkeltijdenwet-en-zondagsopenstellingen--nr-5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20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