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50" w:history="1">
        <w:r>
          <w:rPr>
            <w:rFonts w:ascii="Arial" w:hAnsi="Arial" w:eastAsia="Arial" w:cs="Arial"/>
            <w:color w:val="155CAA"/>
            <w:u w:val="single"/>
          </w:rPr>
          <w:t xml:space="preserve">1 20120126 - Ingekomen stuk -  Sportraad inzake integratie Molendijk in Trefkoele, nr. 494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50"/>
      <w:r w:rsidRPr="00A448AC">
        <w:rPr>
          <w:rFonts w:ascii="Arial" w:hAnsi="Arial" w:cs="Arial"/>
          <w:b/>
          <w:bCs/>
          <w:color w:val="303F4C"/>
          <w:lang w:val="en-US"/>
        </w:rPr>
        <w:t>20120126 - Ingekomen stuk -  Sportraad inzake integratie Molendijk in Trefkoele, nr. 494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20120126 - Ingekomen stuk -  Sportraad inzake integratie Molendijk in Trefkoele, nr. 494.pdf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20120126-Ingekomen-stuk-Sportraad-inzake-integratie-Molendijk-in-Trefkoele-nr-49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