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4" w:history="1">
        <w:r>
          <w:rPr>
            <w:rFonts w:ascii="Arial" w:hAnsi="Arial" w:eastAsia="Arial" w:cs="Arial"/>
            <w:color w:val="155CAA"/>
            <w:u w:val="single"/>
          </w:rPr>
          <w:t xml:space="preserve">1 20120522 Ingekomen stuk, Raad van State, Dalfsen BP Waterfront deskundigenverslag, nr 2878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4"/>
      <w:r w:rsidRPr="00A448AC">
        <w:rPr>
          <w:rFonts w:ascii="Arial" w:hAnsi="Arial" w:cs="Arial"/>
          <w:b/>
          <w:bCs/>
          <w:color w:val="303F4C"/>
          <w:lang w:val="en-US"/>
        </w:rPr>
        <w:t>20120522 Ingekomen stuk, Raad van State, Dalfsen BP Waterfront deskundigenverslag, nr 2878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20120522 Raad van State, Dalfsen BP Waterfront deskundigenverslag, nr 2878.pdf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522-Raad-van-State--Dalfsen-BP-Waterfront-deskundigenverslag--nr-28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