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06:33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66" text:style-name="Internet_20_link" text:visited-style-name="Visited_20_Internet_20_Link">
              <text:span text:style-name="ListLabel_20_28">
                <text:span text:style-name="T8">1 Raad 28 sep 2015 - Ingekomen stuk, RKC, Onderzoek rekenkamercommissie Samenwerking en democratisch gehalte, nr 27514-31427, 20150901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66"/>
        Raad 28 sep 2015 - Ingekomen stuk, RKC, Onderzoek rekenkamercommissie Samenwerking en democratisch gehalte, nr 27514-31427, 20150901
        <text:bookmark-end text:name="4136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08-10-2015 11:48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28 sep 2015 - Ingekomen stuk, RKC, Onderzoek rekenkamercommissie Samenwerking en democratisch gehalte, nr 27514-31427, 20150901.pdf
              <text:span text:style-name="T3"/>
            </text:p>
            <text:p text:style-name="P7"/>
          </table:table-cell>
          <table:table-cell table:style-name="Table4.A2" office:value-type="string">
            <text:p text:style-name="P8">01-09-2015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de-griffier-stellen/Raad-28-sep-2015-Ingekomen-stuk-RKC-Onderzoek-rekenkamercommissie-Samenwerking-en-democratisch-gehalte-nr-27514-31427-201509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85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349235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349235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