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08" text:style-name="Internet_20_link" text:visited-style-name="Visited_20_Internet_20_Link">
              <text:span text:style-name="ListLabel_20_28">
                <text:span text:style-name="T8">1 Raad 25 jan 2016 - Ingekomen stuk, Min v Binnenl Zkn en Koninkrijksrel, Circulaire wijzigingen in Gemeentewet, nr 31159-29404, 20151217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08"/>
        Raad 25 jan 2016 - Ingekomen stuk, Min v Binnenl Zkn en Koninkrijksrel, Circulaire wijzigingen in Gemeentewet, nr 31159-29404, 20151217
        <text:bookmark-end text:name="414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26-01-2016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jan 2016 - Ingekomen stuk, Min v Binnenl Zkn en Koninkrijksrel, Circulaire wijzigingen in Gemeentewet, nr 31159-29404, 20151217.pdf
              <text:span text:style-name="T3"/>
            </text:p>
            <text:p text:style-name="P7"/>
          </table:table-cell>
          <table:table-cell table:style-name="Table4.A2" office:value-type="string">
            <text:p text:style-name="P8">21-12-2015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581,61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5-jan-2016-Ingekomen-stuk-Min-v-Binnenl-Zkn-en-Koninkrijksrel-Circulaire-wijzigingen-in-Gemeentewet-nr-31159-29404-201512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6" meta:character-count="695" meta:non-whitespace-character-count="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