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07" w:history="1">
        <w:r>
          <w:rPr>
            <w:rFonts w:ascii="Arial" w:hAnsi="Arial" w:eastAsia="Arial" w:cs="Arial"/>
            <w:color w:val="155CAA"/>
            <w:u w:val="single"/>
          </w:rPr>
          <w:t xml:space="preserve">1 Raad 23 mrt 2015 - Ingekomen stuk, Kennisgeving tijdelijke benoeming HG Kappert 20150317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07"/>
      <w:r w:rsidRPr="00A448AC">
        <w:rPr>
          <w:rFonts w:ascii="Arial" w:hAnsi="Arial" w:cs="Arial"/>
          <w:b/>
          <w:bCs/>
          <w:color w:val="303F4C"/>
          <w:lang w:val="en-US"/>
        </w:rPr>
        <w:t>Raad 23 mrt 2015 - Ingekomen stuk, Kennisgeving tijdelijke benoeming HG Kappert 20150317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mrt 2015 - Ingekomen stuk, Kennisgeving tijdelijke benoeming HG Kappert 20150317.pdf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de-griffier-stellen/Raad-23-mrt-2015-Ingekomen-stuk-Kennisgeving-tijdelijke-benoeming-HG-Kappert-201503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