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94" w:history="1">
        <w:r>
          <w:rPr>
            <w:rFonts w:ascii="Arial" w:hAnsi="Arial" w:eastAsia="Arial" w:cs="Arial"/>
            <w:color w:val="155CAA"/>
            <w:u w:val="single"/>
          </w:rPr>
          <w:t xml:space="preserve">1 Brf VNG Overijssel, Kandidaatstellingsprocedure VNG-bestuur en commissies 2022, zaaknr 658712, 20220425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94"/>
      <w:r w:rsidRPr="00A448AC">
        <w:rPr>
          <w:rFonts w:ascii="Arial" w:hAnsi="Arial" w:cs="Arial"/>
          <w:b/>
          <w:bCs/>
          <w:color w:val="303F4C"/>
          <w:lang w:val="en-US"/>
        </w:rPr>
        <w:t>Brf VNG Overijssel, Kandidaatstellingsprocedure VNG-bestuur en commissies 2022, zaaknr 658712, 20220425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 11:54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VNG Overijssel,  Kandidaatstellingsprocedure VNG-bestuur en commissies 2022, zaaknr 658712, 20220425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VNG-Overijssel-Kandidaatstellingsprocedure-VNG-bestuur-en-commissies-2022-zaaknr-658712-202204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