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42" text:style-name="Internet_20_link" text:visited-style-name="Visited_20_Internet_20_Link">
              <text:span text:style-name="ListLabel_20_28">
                <text:span text:style-name="T8">1 MinBZK, Circulaire wet bevorderen integriteit en functioneren decentraal bestuur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42"/>
        MinBZK, Circulaire wet bevorderen integriteit en functioneren decentraal bestuur
        <text:bookmark-end text:name="430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19-01-2023 08:37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MinBZK, Circulaire wet bevorderen integriteit en functioneren decentraal bestuur, zaaknr 678140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is.dalfsen.nl//Raadsinformatie/Bijlage/Brf-MinBZK-Circulaire-wet-bevorderen-integriteit-en-functioneren-decentraal-bestuur-zaaknr-6781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MinBZK, Circulaire wet bevorderen integriteit en functioneren decentraal bestuur, zaaknr 678140, Bijlage, Praatplaat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328,83 KB</text:p>
          </table:table-cell>
          <table:table-cell table:style-name="Table4.A2" office:value-type="string">
            <text:p text:style-name="P33">
              <text:a xlink:type="simple" xlink:href="https://ris.dalfsen.nl//Raadsinformatie/Bijlage/Brf-MinBZK-Circulaire-wet-bevorderen-integriteit-en-functioneren-decentraal-bestuur-zaaknr-678140-Bijlage-Praatpl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6" meta:character-count="694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