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60" w:history="1">
        <w:r>
          <w:rPr>
            <w:rFonts w:ascii="Arial" w:hAnsi="Arial" w:eastAsia="Arial" w:cs="Arial"/>
            <w:color w:val="155CAA"/>
            <w:u w:val="single"/>
          </w:rPr>
          <w:t xml:space="preserve">1 Brf, W. Dankelman, ontslag raadslidmaatschap, zaaknr 589063, 20180820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60"/>
      <w:r w:rsidRPr="00A448AC">
        <w:rPr>
          <w:rFonts w:ascii="Arial" w:hAnsi="Arial" w:cs="Arial"/>
          <w:b/>
          <w:bCs/>
          <w:color w:val="303F4C"/>
          <w:lang w:val="en-US"/>
        </w:rPr>
        <w:t>Brf, W. Dankelman, ontslag raadslidmaatschap, zaaknr 589063, 20180820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W. Dankelman, ontslag raadslidmaatschap,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W-Dankelman-ontslag-raadslidmaatschap-201808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