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567" w:history="1">
        <w:r>
          <w:rPr>
            <w:rFonts w:ascii="Arial" w:hAnsi="Arial" w:eastAsia="Arial" w:cs="Arial"/>
            <w:color w:val="155CAA"/>
            <w:u w:val="single"/>
          </w:rPr>
          <w:t xml:space="preserve">1 Raad 29 mei 2017 - Ingekomen stuk, Plas Bossinade advocaten, Zienswijze Chw bestemmingsplan Kernen, nr 494435-130362, 20170502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567"/>
      <w:r w:rsidRPr="00A448AC">
        <w:rPr>
          <w:rFonts w:ascii="Arial" w:hAnsi="Arial" w:cs="Arial"/>
          <w:b/>
          <w:bCs/>
          <w:color w:val="303F4C"/>
          <w:lang w:val="en-US"/>
        </w:rPr>
        <w:t>Raad 29 mei 2017 - Ingekomen stuk, Plas Bossinade advocaten, Zienswijze Chw bestemmingsplan Kernen, nr 494435-130362, 20170502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30-05-2017 12:12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29 mei 2017 - Ingekomen stuk, Plas Bossinade advocaten, Zienswijze Chw bestemmingsplan Kernen, nr 494435-130362, 20170502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Raad-29-mei-2017-Ingekomen-stuk-Plas-Bossinade-advocaten-Zienswijze-Chw-bestemmingsplan-Kernen-nr-494435-130362-201705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