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48" w:history="1">
        <w:r>
          <w:rPr>
            <w:rFonts w:ascii="Arial" w:hAnsi="Arial" w:eastAsia="Arial" w:cs="Arial"/>
            <w:color w:val="155CAA"/>
            <w:u w:val="single"/>
          </w:rPr>
          <w:t xml:space="preserve">1 Raad 28 sep 2015 - Ingekomen stuk, Veiligheidsregio IJsselland, Voorjaarsrapportage, nr 26603-28513, 20150625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48"/>
      <w:r w:rsidRPr="00A448AC">
        <w:rPr>
          <w:rFonts w:ascii="Arial" w:hAnsi="Arial" w:cs="Arial"/>
          <w:b/>
          <w:bCs/>
          <w:color w:val="303F4C"/>
          <w:lang w:val="en-US"/>
        </w:rPr>
        <w:t>Raad 28 sep 2015 - Ingekomen stuk, Veiligheidsregio IJsselland, Voorjaarsrapportage, nr 26603-28513, 20150625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08-10-2015 11:43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28 sep 2015 - Ingekomen stuk, Veiligheidsregio IJsselland, Voorjaarsrapportage, nr 26603-28513, 20150625.pdf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711,68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Raad-28-sep-2015-Ingekomen-stuk-Veiligheidsregio-IJsselland-Voorjaarsrapportage-nr-26603-28513-2015062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