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52" w:history="1">
        <w:r>
          <w:rPr>
            <w:rFonts w:ascii="Arial" w:hAnsi="Arial" w:eastAsia="Arial" w:cs="Arial"/>
            <w:color w:val="155CAA"/>
            <w:u w:val="single"/>
          </w:rPr>
          <w:t xml:space="preserve">1 Raad 28 sep 2015 - Ingekomen stuk  - BVO Jeugdzorg IJsselland, Begroting GR, nr 27319-27525, 20150804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52"/>
      <w:r w:rsidRPr="00A448AC">
        <w:rPr>
          <w:rFonts w:ascii="Arial" w:hAnsi="Arial" w:cs="Arial"/>
          <w:b/>
          <w:bCs/>
          <w:color w:val="303F4C"/>
          <w:lang w:val="en-US"/>
        </w:rPr>
        <w:t>Raad 28 sep 2015 - Ingekomen stuk  - BVO Jeugdzorg IJsselland, Begroting GR, nr 27319-27525, 20150804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08-10-2015 11:44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28 sep 2015 - Ingekomen stuk  - BVO Jeugdzorg IJsselland, Begroting GR, nr 27319-27525, 20150804.pdf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8-sep-2015-Ingekomen-stuk-BVO-Jeugdzorg-IJsselland-Begroting-GR-nr-27319-27525-201508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