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2" w:history="1">
        <w:r>
          <w:rPr>
            <w:rFonts w:ascii="Arial" w:hAnsi="Arial" w:eastAsia="Arial" w:cs="Arial"/>
            <w:color w:val="155CAA"/>
            <w:u w:val="single"/>
          </w:rPr>
          <w:t xml:space="preserve">1 Raad 27 mei 2013 - Ingekomen stuk, G.J. Manenschijn, principe uitspraak wijz BP, nr 7085-12745, 20130507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2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G.J. Manenschijn, principe uitspraak wijz BP, nr 7085-12745,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G.J. Manenschijn, principe uitspraak wijz BP, nr 7085-12745,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7-mei-2013-Ingekomen-stuk-G-J-Manenschijn-principe-uitspraak-wijz-BP-nr-7085-12745-2013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