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03" w:history="1">
        <w:r>
          <w:rPr>
            <w:rFonts w:ascii="Arial" w:hAnsi="Arial" w:eastAsia="Arial" w:cs="Arial"/>
            <w:color w:val="155CAA"/>
            <w:u w:val="single"/>
          </w:rPr>
          <w:t xml:space="preserve">1 Raad 26 mei 2014 - Ingekomen stuk, Veiligheidsregio IJsselland, Concept begroting 2015, nr 15830-14934, 20140408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03"/>
      <w:r w:rsidRPr="00A448AC">
        <w:rPr>
          <w:rFonts w:ascii="Arial" w:hAnsi="Arial" w:cs="Arial"/>
          <w:b/>
          <w:bCs/>
          <w:color w:val="303F4C"/>
          <w:lang w:val="en-US"/>
        </w:rPr>
        <w:t>Raad 26 mei 2014 - Ingekomen stuk, Veiligheidsregio IJsselland, Concept begroting 2015, nr 15830-14934, 20140408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 16:05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mei 2014 - Ingekomen stuk, Veiligheidsregio IJsselland, Concept begroting 2015, nr 15830-14934, 20140408.pdf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6-mei-2014---Ingekomen-stuk--Veiligheidsregio-IJsselland--Concept-begroting-2015--nr-15830-14934--201404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