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50" w:history="1">
        <w:r>
          <w:rPr>
            <w:rFonts w:ascii="Arial" w:hAnsi="Arial" w:eastAsia="Arial" w:cs="Arial"/>
            <w:color w:val="155CAA"/>
            <w:u w:val="single"/>
          </w:rPr>
          <w:t xml:space="preserve">1 Raad 25 mrt 2013 - Ingekomen stuk, Jonkman zienswijze groenstructuurplan, nr 3632-4516, 20130311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50"/>
      <w:r w:rsidRPr="00A448AC">
        <w:rPr>
          <w:rFonts w:ascii="Arial" w:hAnsi="Arial" w:cs="Arial"/>
          <w:b/>
          <w:bCs/>
          <w:color w:val="303F4C"/>
          <w:lang w:val="en-US"/>
        </w:rPr>
        <w:t>Raad 25 mrt 2013 - Ingekomen stuk, Jonkman zienswijze groenstructuurplan, nr 3632-4516, 20130311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28-03-2013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mrt 2013 - Ingekomen stuk, Jonkman zienswijze groenstructuurplan, nr 3632-4516, 20130311.pdf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5-mrt-2013---Ingekomen-stuk--Jonkman-zienswijze-groenstructuurplan--nr-3632-4516--201303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