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39" w:history="1">
        <w:r>
          <w:rPr>
            <w:rFonts w:ascii="Arial" w:hAnsi="Arial" w:eastAsia="Arial" w:cs="Arial"/>
            <w:color w:val="155CAA"/>
            <w:u w:val="single"/>
          </w:rPr>
          <w:t xml:space="preserve">1 Raad 22 jun 2015 - Ingekomen stuk, A&amp;amp;S Advocaten, namens BV en dhr. H.W., zienswijze ontwerpplan N348 Lemelerveld, nr 26139-26902, 20150601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39"/>
      <w:r w:rsidRPr="00A448AC">
        <w:rPr>
          <w:rFonts w:ascii="Arial" w:hAnsi="Arial" w:cs="Arial"/>
          <w:b/>
          <w:bCs/>
          <w:color w:val="303F4C"/>
          <w:lang w:val="en-US"/>
        </w:rPr>
        <w:t>Raad 22 jun 2015 - Ingekomen stuk, A&amp;amp;S Advocaten, namens BV en dhr. H.W., zienswijze ontwerpplan N348 Lemelerveld, nr 26139-26902, 20150601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 14:22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22 jun 2015 - Ingekomen stuk, A&amp;amp;S Advocaten, namens BV en dhr. H.W., zienswijze ontwerpplan N348 Lemelerveld, nr 26139-26902, 20150601.pdf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2-jun-2015-Ingekomen-stuk-A-S-Advocaten-namens-BV-en-dhr-H-W-zienswijze-ontwerpplan-N348-Lemelerveld-nr-26139-26902-201506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