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15" w:history="1">
        <w:r>
          <w:rPr>
            <w:rFonts w:ascii="Arial" w:hAnsi="Arial" w:eastAsia="Arial" w:cs="Arial"/>
            <w:color w:val="155CAA"/>
            <w:u w:val="single"/>
          </w:rPr>
          <w:t xml:space="preserve">1 Raad 20 apr 2015 - Ingekomen stuk, Veiligheidsregio IJsselland, concept begroting 2016, nr 24661-26112, 20150402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15"/>
      <w:r w:rsidRPr="00A448AC">
        <w:rPr>
          <w:rFonts w:ascii="Arial" w:hAnsi="Arial" w:cs="Arial"/>
          <w:b/>
          <w:bCs/>
          <w:color w:val="303F4C"/>
          <w:lang w:val="en-US"/>
        </w:rPr>
        <w:t>Raad 20 apr 2015 - Ingekomen stuk, Veiligheidsregio IJsselland, concept begroting 2016, nr 24661-26112, 20150402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 16:14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 apr 2015 - Ingekomen stuk, Veiligheidsregio IJsselland, concept begroting 2016, nr 24661-26112, 20150402.pdf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0-apr-2015-Ingekomen-stuk-Veiligheidsregio-IJsselland-concept-begroting-2016-nr-24661-26112-20150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