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18:04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286" w:history="1">
        <w:r>
          <w:rPr>
            <w:rFonts w:ascii="Arial" w:hAnsi="Arial" w:eastAsia="Arial" w:cs="Arial"/>
            <w:color w:val="155CAA"/>
            <w:u w:val="single"/>
          </w:rPr>
          <w:t xml:space="preserve">1 Raad - 16 febr 2015, Ingekomen stuk, N. van Zanden-Telgenhof, zienswijze OntwerpBP Oosterdalfsen, nr 22849-24826, 20150127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286"/>
      <w:r w:rsidRPr="00A448AC">
        <w:rPr>
          <w:rFonts w:ascii="Arial" w:hAnsi="Arial" w:cs="Arial"/>
          <w:b/>
          <w:bCs/>
          <w:color w:val="303F4C"/>
          <w:lang w:val="en-US"/>
        </w:rPr>
        <w:t>Raad - 16 febr 2015, Ingekomen stuk, N. van Zanden-Telgenhof, zienswijze OntwerpBP Oosterdalfsen, nr 22849-24826, 20150127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19-02-2015 12:20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advisering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- 16 febr 2015, Ingekomen stuk, N. van Zanden-Telgenhof, zienswijze OntwerpBP Oosterdalfsen, nr 22849-24826, 20150127.pdf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161,35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ter-advisering-in-handen-van-het-college-stellen/Raad-16-febr-2015-Ingekomen-stuk-N-van-Zanden-Telgenhof-zienswijze-OntwerpBP-Oosterdalfsen-nr-22849-24826-20150127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