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53" w:history="1">
        <w:r>
          <w:rPr>
            <w:rFonts w:ascii="Arial" w:hAnsi="Arial" w:eastAsia="Arial" w:cs="Arial"/>
            <w:color w:val="155CAA"/>
            <w:u w:val="single"/>
          </w:rPr>
          <w:t xml:space="preserve">1 Lbr VNG, 21-083, Versterking gemeentelijke dienstverlening Parlementaire Ondervragingscommissie Kinderopvangtoeslag, zaaknr 647388, 20211216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53"/>
      <w:r w:rsidRPr="00A448AC">
        <w:rPr>
          <w:rFonts w:ascii="Arial" w:hAnsi="Arial" w:cs="Arial"/>
          <w:b/>
          <w:bCs/>
          <w:color w:val="303F4C"/>
          <w:lang w:val="en-US"/>
        </w:rPr>
        <w:t>Lbr VNG, 21-083, Versterking gemeentelijke dienstverlening Parlementaire Ondervragingscommissie Kinderopvangtoeslag, zaaknr 647388, 20211216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21-083, Versterking gemeentelijke dienstverlening Parlementaire Ondervragingscommissie Kinderopvangtoeslag, zaaknr 647388, 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83-Versterking-gemeentelijke-dienstverlening-Parlementaire-Ondervragingscommissie-Kinderopvangtoeslag-zaaknr-647388-202112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