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57" w:history="1">
        <w:r>
          <w:rPr>
            <w:rFonts w:ascii="Arial" w:hAnsi="Arial" w:eastAsia="Arial" w:cs="Arial"/>
            <w:color w:val="155CAA"/>
            <w:u w:val="single"/>
          </w:rPr>
          <w:t xml:space="preserve">1 Lbr VNG 21-023, Wegwijzer-gemeentelijk-woonwagen-en-standplaatsenbeleid-en-VNG-model-huisvestingsverordening, zaaknr 633816, 20210511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57"/>
      <w:r w:rsidRPr="00A448AC">
        <w:rPr>
          <w:rFonts w:ascii="Arial" w:hAnsi="Arial" w:cs="Arial"/>
          <w:b/>
          <w:bCs/>
          <w:color w:val="303F4C"/>
          <w:lang w:val="en-US"/>
        </w:rPr>
        <w:t>Lbr VNG 21-023, Wegwijzer-gemeentelijk-woonwagen-en-standplaatsenbeleid-en-VNG-model-huisvestingsverordening, zaaknr 633816, 20210511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21-023, Wegwijzer-gemeentelijk-woonwagen-en-standplaatsenbeleid-en-VNG-model-huisvestingsverordening, zaaknr 633816, 20210511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23-Wegwijzer-gemeentelijk-woonwagen-en-standplaatsenbeleid-en-VNG-model-huisvestingsverordening-zaaknr-633816-202105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