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06" w:history="1">
        <w:r>
          <w:rPr>
            <w:rFonts w:ascii="Arial" w:hAnsi="Arial" w:eastAsia="Arial" w:cs="Arial"/>
            <w:color w:val="155CAA"/>
            <w:u w:val="single"/>
          </w:rPr>
          <w:t xml:space="preserve">1 Lbr VNG 20-095, Handreiking leegstand te lijf 2.0 en VNG-model leegstandverordening, zaaknr 627929, 20210105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06"/>
      <w:r w:rsidRPr="00A448AC">
        <w:rPr>
          <w:rFonts w:ascii="Arial" w:hAnsi="Arial" w:cs="Arial"/>
          <w:b/>
          <w:bCs/>
          <w:color w:val="303F4C"/>
          <w:lang w:val="en-US"/>
        </w:rPr>
        <w:t>Lbr VNG 20-095, Handreiking leegstand te lijf 2.0 en VNG-model leegstandverordening, zaaknr 627929, 20210105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 10:15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20-095, Handreiking leegstand te lijf 2.0 en VNG-model leegstandverordening, zaaknr 627929, 20210105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0-095-Handreiking-leegstand-te-lijf-2-0-en-VNG-model-leegstandverordening-zaaknr-627929-2021010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