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8" w:history="1">
        <w:r>
          <w:rPr>
            <w:rFonts w:ascii="Arial" w:hAnsi="Arial" w:eastAsia="Arial" w:cs="Arial"/>
            <w:color w:val="155CAA"/>
            <w:u w:val="single"/>
          </w:rPr>
          <w:t xml:space="preserve">1 Lbr VNG 20-051, Wijzigingen modelverordeningen gemeentelijke belastingen, zaaknr 621182, 20200721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8"/>
      <w:r w:rsidRPr="00A448AC">
        <w:rPr>
          <w:rFonts w:ascii="Arial" w:hAnsi="Arial" w:cs="Arial"/>
          <w:b/>
          <w:bCs/>
          <w:color w:val="303F4C"/>
          <w:lang w:val="en-US"/>
        </w:rPr>
        <w:t>Lbr VNG 20-051, Wijzigingen modelverordeningen gemeentelijke belastingen, zaaknr 621182, 20200721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20-051, Wijzigingen modelverordeningen gemeentelijke belastingen, zaaknr 621182,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20-051-Wijzigingen-modelverordeningen-gemeentelijke-belastingen-zaaknr-621182-202007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