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6" w:history="1">
        <w:r>
          <w:rPr>
            <w:rFonts w:ascii="Arial" w:hAnsi="Arial" w:eastAsia="Arial" w:cs="Arial"/>
            <w:color w:val="155CAA"/>
            <w:u w:val="single"/>
          </w:rPr>
          <w:t xml:space="preserve">1 Lbr VNG 19-078, Handleiding uniformering objectafbakening gemeentelijke belastingen, zaaknr 608795, 20191010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6"/>
      <w:r w:rsidRPr="00A448AC">
        <w:rPr>
          <w:rFonts w:ascii="Arial" w:hAnsi="Arial" w:cs="Arial"/>
          <w:b/>
          <w:bCs/>
          <w:color w:val="303F4C"/>
          <w:lang w:val="en-US"/>
        </w:rPr>
        <w:t>Lbr VNG 19-078, Handleiding uniformering objectafbakening gemeentelijke belastingen, zaaknr 608795, 20191010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19-078, Handleiding uniformering objectafbakening gemeentelijke belastingen, zaaknr 608795,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9-078-Handleiding-uniformering-objectafbakening-gemeentelijke-belastingen-zaaknr-608795-20191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