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8" w:history="1">
        <w:r>
          <w:rPr>
            <w:rFonts w:ascii="Arial" w:hAnsi="Arial" w:eastAsia="Arial" w:cs="Arial"/>
            <w:color w:val="155CAA"/>
            <w:u w:val="single"/>
          </w:rPr>
          <w:t xml:space="preserve">1 Lbr VNG 19-062, Wijzigingen modelverordeningen gemeentelijke belastingen, zaaknr 605969, 20190822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8"/>
      <w:r w:rsidRPr="00A448AC">
        <w:rPr>
          <w:rFonts w:ascii="Arial" w:hAnsi="Arial" w:cs="Arial"/>
          <w:b/>
          <w:bCs/>
          <w:color w:val="303F4C"/>
          <w:lang w:val="en-US"/>
        </w:rPr>
        <w:t>Lbr VNG 19-062, Wijzigingen modelverordeningen gemeentelijke belastingen, zaaknr 605969, 20190822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19-062, Wijzigingen modelverordeningen gemeentelijke belastingen, zaaknr 605969, 20190822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9-062-Wijzigingen-modelverordeningen-gemeentelijke-belastingen-zaaknr-605969-201908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