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6" w:history="1">
        <w:r>
          <w:rPr>
            <w:rFonts w:ascii="Arial" w:hAnsi="Arial" w:eastAsia="Arial" w:cs="Arial"/>
            <w:color w:val="155CAA"/>
            <w:u w:val="single"/>
          </w:rPr>
          <w:t xml:space="preserve">1 Lbr VNG 19-045, Implementatie abonnementstarief Wmo, zaaknr 603358, 20190613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6"/>
      <w:r w:rsidRPr="00A448AC">
        <w:rPr>
          <w:rFonts w:ascii="Arial" w:hAnsi="Arial" w:cs="Arial"/>
          <w:b/>
          <w:bCs/>
          <w:color w:val="303F4C"/>
          <w:lang w:val="en-US"/>
        </w:rPr>
        <w:t>Lbr VNG 19-045, Implementatie abonnementstarief Wmo, zaaknr 603358, 20190613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19-045, Implementatie abonnementstarief Wmo, zaaknr 603358,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45-Implementatie-abonnementstarief-Wmo-zaaknr-603358-201906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