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8" w:history="1">
        <w:r>
          <w:rPr>
            <w:rFonts w:ascii="Arial" w:hAnsi="Arial" w:eastAsia="Arial" w:cs="Arial"/>
            <w:color w:val="155CAA"/>
            <w:u w:val="single"/>
          </w:rPr>
          <w:t xml:space="preserve">1 Lbr VNG, 19-004, Modelregelingen rechtspositie college en raad, zaaknr 595970, 20190121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8"/>
      <w:r w:rsidRPr="00A448AC">
        <w:rPr>
          <w:rFonts w:ascii="Arial" w:hAnsi="Arial" w:cs="Arial"/>
          <w:b/>
          <w:bCs/>
          <w:color w:val="303F4C"/>
          <w:lang w:val="en-US"/>
        </w:rPr>
        <w:t>Lbr VNG, 19-004, Modelregelingen rechtspositie college en raad, zaaknr 595970, 20190121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19-004, Modelregelingen rechtspositie college en raad, zaaknr 595970,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9-004-Modelregelingen-rechtspositie-college-en-raad-zaaknr-595970-2019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