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58" text:style-name="Internet_20_link" text:visited-style-name="Visited_20_Internet_20_Link">
              <text:span text:style-name="ListLabel_20_28">
                <text:span text:style-name="T8">1 Brf Veiligheidsregio IJsselland, Wijziging gemeenschappelijke regeling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58"/>
        Brf Veiligheidsregio IJsselland, Wijziging gemeenschappelijke regeling
        <text:bookmark-end text:name="432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24-10-2023 12:53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Veiligheidsregio IJsselland, Wijziging gemeenschappelijke regeling, 20231024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is.dalfsen.nl//Raadsinformatie/Bijlage/Brf-Veiligheidsregio-IJsselland-Wijziging-gemeenschappelijke-regeling-20231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505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