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8" w:history="1">
        <w:r>
          <w:rPr>
            <w:rFonts w:ascii="Arial" w:hAnsi="Arial" w:eastAsia="Arial" w:cs="Arial"/>
            <w:color w:val="155CAA"/>
            <w:u w:val="single"/>
          </w:rPr>
          <w:t xml:space="preserve">1 Brf Veiligheidsregio IJsselland, Strategische Beleidsagenda 2023 tm 2026, zaaknr 672284, 20221013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8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Strategische Beleidsagenda 2023 tm 2026, zaaknr 672284, 20221013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Strategische Beleidsagenda 2023 tm 2026, zaaknr 672284, 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eiligheidsregio-IJsselland-Strategische-Beleidsagenda-2023-tm-2026-zaaknr-672284-20221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