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14" w:history="1">
        <w:r>
          <w:rPr>
            <w:rFonts w:ascii="Arial" w:hAnsi="Arial" w:eastAsia="Arial" w:cs="Arial"/>
            <w:color w:val="155CAA"/>
            <w:u w:val="single"/>
          </w:rPr>
          <w:t xml:space="preserve">1 Brf VR IJsselland, Werkgeversvereniging samenwerkende veiligheidsregio's, zaaknr 625298, 20201020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14"/>
      <w:r w:rsidRPr="00A448AC">
        <w:rPr>
          <w:rFonts w:ascii="Arial" w:hAnsi="Arial" w:cs="Arial"/>
          <w:b/>
          <w:bCs/>
          <w:color w:val="303F4C"/>
          <w:lang w:val="en-US"/>
        </w:rPr>
        <w:t>Brf VR IJsselland, Werkgeversvereniging samenwerkende veiligheidsregio's, zaaknr 625298, 20201020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Werkgeversvereniging samenwerkende veiligheidsregio's, zaaknr 625298, 20201020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VR-IJsselland-Werkgeversvereniging-samenwerkende-veiligheidsregio-s-zaaknr-625298-20201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