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10:31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778" text:style-name="Internet_20_link" text:visited-style-name="Visited_20_Internet_20_Link">
              <text:span text:style-name="ListLabel_20_28">
                <text:span text:style-name="T8">1 Brf RSJ IJsselland, Kadernota en begroting 2023, jaarverslag 2021 incl jaarrekening, zaaknr 657598, 20220414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778"/>
        Brf RSJ IJsselland, Kadernota en begroting 2023, jaarverslag 2021 incl jaarrekening, zaaknr 657598, 20220414
        <text:bookmark-end text:name="4277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28-04-2022 11:22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RSJ IJsselland, Kadernota en begroting 2023, jaarverslag 2021 incl jaarrekening, zaaknr 657598, 20220414
              <text:span text:style-name="T3"/>
            </text:p>
            <text:p text:style-name="P7"/>
          </table:table-cell>
          <table:table-cell table:style-name="Table4.A2" office:value-type="string">
            <text:p text:style-name="P8">14-04-2022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4.A2" office:value-type="string">
            <text:p text:style-name="P33">
              <text:a xlink:type="simple" xlink:href="https://ris.dalfsen.nl//Raadsinformatie/Bijlage/Brf-RSJ-IJsselland-Kadernota-en-begroting-2023-jaarverslag-2021-incl-jaarrekening-zaaknr-657598-202204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8" meta:character-count="609" meta:non-whitespace-character-count="5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404872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404872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