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20" text:style-name="Internet_20_link" text:visited-style-name="Visited_20_Internet_20_Link">
              <text:span text:style-name="ListLabel_20_28">
                <text:span text:style-name="T8">1 Brf Min v Binnenl Zkn en Koninksrijksrel, Circulaire Rechtspositiebesluit decentrale politieke ambtsdragers, zaaknr 594339, 20181210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20"/>
        Brf Min v Binnenl Zkn en Koninksrijksrel, Circulaire Rechtspositiebesluit decentrale politieke ambtsdragers, zaaknr 594339, 20181210
        <text:bookmark-end text:name="418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20-12-2018 11:19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Min v Binnenl Zkn en Koninksrijksrel, Circulaire Rechtspositiebesluit decentrale politieke ambtsdragers, zaaknr 594339, 20181210
              <text:span text:style-name="T3"/>
            </text:p>
            <text:p text:style-name="P7"/>
          </table:table-cell>
          <table:table-cell table:style-name="Table4.A2" office:value-type="string">
            <text:p text:style-name="P8">10-12-2018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3,54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Brf-Min-v-Binnenl-Zkn-en-Koninksrijksrel-Circulaire-Rechtspositiebesluit-decentrale-politieke-ambtsdragers-zaaknr-594339-201812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1" meta:character-count="681" meta:non-whitespace-character-count="6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