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22:18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815" text:style-name="Internet_20_link" text:visited-style-name="Visited_20_Internet_20_Link">
              <text:span text:style-name="ListLabel_20_28">
                <text:span text:style-name="T8">1 Brf GGD- en RSJ IJsselland, Onderbrengen RSJ IJsselland bij GGD IJsselland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815"/>
        Brf GGD- en RSJ IJsselland, Onderbrengen RSJ IJsselland bij GGD IJsselland
        <text:bookmark-end text:name="4381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08-05-2025 19:18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GGD- en RSJ IJsselland, Onderbrengen RSJ IJsselland bij GGD IJsselland, 20250508
              <text:span text:style-name="T3"/>
            </text:p>
            <text:p text:style-name="P7"/>
          </table:table-cell>
          <table:table-cell table:style-name="Table4.A2" office:value-type="string">
            <text:p text:style-name="P8">08-05-2025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3,02 MB</text:p>
          </table:table-cell>
          <table:table-cell table:style-name="Table4.A2" office:value-type="string">
            <text:p text:style-name="P33">
              <text:a xlink:type="simple" xlink:href="https://ris.dalfsen.nl//Raadsinformatie/Brf-GGD-en-RSJ-IJsselland-Onderbrengen-RSJ-IJsselland-bij-GGD-IJsselland-2025050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0" meta:character-count="517" meta:non-whitespace-character-count="4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537745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537745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