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97" w:history="1">
        <w:r>
          <w:rPr>
            <w:rFonts w:ascii="Arial" w:hAnsi="Arial" w:eastAsia="Arial" w:cs="Arial"/>
            <w:color w:val="155CAA"/>
            <w:u w:val="single"/>
          </w:rPr>
          <w:t xml:space="preserve">1 Brf inwoner, Zienswijze 8e verzamelplan buitengebied Dalfsen, Ruimtelijke onderbouwing Brinkweg 12a, zaaknr 651215, 20220201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97"/>
      <w:r w:rsidRPr="00A448AC">
        <w:rPr>
          <w:rFonts w:ascii="Arial" w:hAnsi="Arial" w:cs="Arial"/>
          <w:b/>
          <w:bCs/>
          <w:color w:val="303F4C"/>
          <w:lang w:val="en-US"/>
        </w:rPr>
        <w:t>Brf inwoner, Zienswijze 8e verzamelplan buitengebied Dalfsen, Ruimtelijke onderbouwing Brinkweg 12a, zaaknr 651215, 20220201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 16:31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inwoner, Zienswijze 8e verzamelplan buitengebied Dalfsen, Ruimtelijke onderbouwing Brinkweg 12a, zaaknr 651215, 20220201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inwoner-Zienswijze-8e-verzamelplan-buitengebied-Dalfsen-Ruimtelijke-onderbouwing-Brinkweg-12a-zaaknr-651215-202202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