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008" w:history="1">
        <w:r>
          <w:rPr>
            <w:rFonts w:ascii="Arial" w:hAnsi="Arial" w:eastAsia="Arial" w:cs="Arial"/>
            <w:color w:val="155CAA"/>
            <w:u w:val="single"/>
          </w:rPr>
          <w:t xml:space="preserve">1 Lbr VNG, 22-061, Nieuwe modelverordeningen Wet versterking decentrale rekenkamers, zaaknr 675716, 20221129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008"/>
      <w:r w:rsidRPr="00A448AC">
        <w:rPr>
          <w:rFonts w:ascii="Arial" w:hAnsi="Arial" w:cs="Arial"/>
          <w:b/>
          <w:bCs/>
          <w:color w:val="303F4C"/>
          <w:lang w:val="en-US"/>
        </w:rPr>
        <w:t>Lbr VNG, 22-061, Nieuwe modelverordeningen Wet versterking decentrale rekenkamers, zaaknr 675716, 20221129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 15:41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22-061, Nieuwe modelverordeningen Wet versterking decentrale rekenkamers, zaaknr 675716, 20221129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852,68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2-061-Nieuwe-modelverordeningen-Wet-versterking-decentrale-rekenkamers-zaaknr-675716-2022112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