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47" text:style-name="Internet_20_link" text:visited-style-name="Visited_20_Internet_20_Link">
              <text:span text:style-name="ListLabel_20_28">
                <text:span text:style-name="T8">1 Brf Min v Binnenl Zkn en Koninksrijksrel, Aanvulling op circulaire invoering nieuwe rechtspositiebesluit - Overgangsrecht ICT, zaaknr 597494, 20190221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47"/>
        Brf Min v Binnenl Zkn en Koninksrijksrel, Aanvulling op circulaire invoering nieuwe rechtspositiebesluit - Overgangsrecht ICT, zaaknr 597494, 20190221
        <text:bookmark-end text:name="418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26-03-2019 12:05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 v Binnenl Zkn en Koninksrijksrel, Aanvulling op circulaire Invoering nieuwe rechtspositiebesluit - Overgangsrecht ICT, zaaknr 597494, 20190221
              <text:span text:style-name="T3"/>
            </text:p>
            <text:p text:style-name="P7"/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Min-v-Binnenl-Zkn-en-Koninksrijksrel-Aanvulling-op-circulaire-Invoering-nieuwe-rechtspositiebesluit-Overgangsrecht-ICT-zaaknr-597494-20190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3" meta:character-count="736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