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31" w:history="1">
        <w:r>
          <w:rPr>
            <w:rFonts w:ascii="Arial" w:hAnsi="Arial" w:eastAsia="Arial" w:cs="Arial"/>
            <w:color w:val="155CAA"/>
            <w:u w:val="single"/>
          </w:rPr>
          <w:t xml:space="preserve">1 Raad 22 sep 2014 - Ingekomen stuk, Min Binnenl Zkn en Koninkrijksrel, Circulaire Besluit Harmonisering en moderniserin rechtspositite decentrale politieke ambtsdragers, nr 18049-21044, 20140805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31"/>
      <w:r w:rsidRPr="00A448AC">
        <w:rPr>
          <w:rFonts w:ascii="Arial" w:hAnsi="Arial" w:cs="Arial"/>
          <w:b/>
          <w:bCs/>
          <w:color w:val="303F4C"/>
          <w:lang w:val="en-US"/>
        </w:rPr>
        <w:t>Raad 22 sep 2014 - Ingekomen stuk, Min Binnenl Zkn en Koninkrijksrel, Circulaire Besluit Harmonisering en moderniserin rechtspositite decentrale politieke ambtsdragers, nr 18049-21044, 20140805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 12:47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sep 2014 - Ingekomen stuk, Min Binnenl Zkn en Koninkrijksrel, Circulaire Besluit Harmonisering en moderniserin rechtspositite decentrale politieke ambtsdragers, nr 18049-21044, 20140805.pdf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2-sep-2014---Ingekomen-stuk--Min-Binnenl-Zkn-en-Koninkrijksrel--Circulaire-Besluit-Harmonisering-en-moderniserin-rechtspositite-decentrale-politieke-ambtsdragers--nr-18049-21044--201408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