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6" w:history="1">
        <w:r>
          <w:rPr>
            <w:rFonts w:ascii="Arial" w:hAnsi="Arial" w:eastAsia="Arial" w:cs="Arial"/>
            <w:color w:val="155CAA"/>
            <w:u w:val="single"/>
          </w:rPr>
          <w:t xml:space="preserve">1 Raad 23 juni 2014 - Ingekomen stuk, NOC-NSF, Sport en de Wet Markt en Overheid, nr 17088-16314, 20140526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5" w:history="1">
        <w:r>
          <w:rPr>
            <w:rFonts w:ascii="Arial" w:hAnsi="Arial" w:eastAsia="Arial" w:cs="Arial"/>
            <w:color w:val="155CAA"/>
            <w:u w:val="single"/>
          </w:rPr>
          <w:t xml:space="preserve">2 Raad 23 juni 2014 - Ingekomen stuk, NOV, gemeenten bepalen of lidmaatschap van vrijwilligersorganisaties betaalbaar blijft, nr 16863-16033, 20140526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6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NOC-NSF, Sport en de Wet Markt en Overheid, nr 17088-16314, 20140526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NOC-NSF, Sport en de Wet Markt en Overheid, nr 17088-16314, 20140526.pdf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5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NOV, gemeenten bepalen of lidmaatschap van vrijwilligersorganisaties betaalbaar blijft, nr 16863-16033, 20140526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NOV, gemeenten bepalen of lidmaatschap van vrijwilligersorganisaties betaalbaar blijft, nr 16863-16033, 20140526.pdf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3-juni-2014---Ingekomen-stuk--NOC-NSF--Sport-en-de-Wet-Markt-en-Overheid--nr-17088-16314--20140526.pdf" TargetMode="External" /><Relationship Id="rId25" Type="http://schemas.openxmlformats.org/officeDocument/2006/relationships/hyperlink" Target="https://ris.dalfsen.nl//Raadsinformatie/Ingekomen-stuk/ter-advisering-in-handen-van-het-college-stellen/Raad-23-juni-2014---Ingekomen-stuk--NOV--gemeenten-bepalen-of-lidmaatschap-van-vrijwilligersorganisaties-betaalbaar-blijft--nr-16863-16033--201405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