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21" text:style-name="Internet_20_link" text:visited-style-name="Visited_20_Internet_20_Link">
              <text:span text:style-name="ListLabel_20_28">
                <text:span text:style-name="T8">1 Raad 27 feb 2017 - Ingekomen stuk, Rechtspraktijk BAWA, Rekest WOB, nr 492870-124036, 20170207 (gedelegeerd aan het college van BenW)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21"/>
        Raad 27 feb 2017 - Ingekomen stuk, Rechtspraktijk BAWA, Rekest WOB, nr 492870-124036, 20170207 (gedelegeerd aan het college van BenW)
        <text:bookmark-end text:name="41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28-02-2017 11:44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feb 2017 - Ingekomen stuk, Rechtspraktijk BAWA, Rekest WOB, nr 492870-124036, 20170207 (gedelegeerd aan het college van BenW)
              <text:span text:style-name="T3"/>
            </text:p>
            <text:p text:style-name="P7"/>
          </table:table-cell>
          <table:table-cell table:style-name="Table4.A2" office:value-type="string">
            <text:p text:style-name="P8">07-02-2017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Raad-27-feb-2017-Ingekomen-stuk-Rechtspraktijk-BAWA-Rekest-WOB-nr-492870-124036-20170207-gedelegeerd-aan-het-college-van-B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43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