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7" w:history="1">
        <w:r>
          <w:rPr>
            <w:rFonts w:ascii="Arial" w:hAnsi="Arial" w:eastAsia="Arial" w:cs="Arial"/>
            <w:color w:val="155CAA"/>
            <w:u w:val="single"/>
          </w:rPr>
          <w:t xml:space="preserve">1 Raad 26 jun 2017 - Ingekomen stuk, Rombou, 3e Verzamelplan buitengebied aanvullende reactie op zienswijze, nr 495157-134186, 20170608 (Betrekken bij Raadscommissie 12 juni 2017)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7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Rombou, 3e Verzamelplan buitengebied aanvullende reactie op zienswijze, nr 495157-134186, 20170608 (Betrekken bij Raadscommissie 12 juni 2017)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Rombou, 3e Verzamelplan buitengebied aanvullende reactie op zienswijze, nr 495157-134186, 20170608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Raad-26-jun-2017-Ingekomen-stuk-Rombou-3e-Verzamelplan-buitengebied-aanvullende-reactie-op-zienswijze-nr-495157-134186-2017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