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7" w:history="1">
        <w:r>
          <w:rPr>
            <w:rFonts w:ascii="Arial" w:hAnsi="Arial" w:eastAsia="Arial" w:cs="Arial"/>
            <w:color w:val="155CAA"/>
            <w:u w:val="single"/>
          </w:rPr>
          <w:t xml:space="preserve">1 Lbr VNG 19-067, LOGA Cao Ontslagcommissie, zaaknr 607671, 20190916 (in handen van de werkgeverscommissie stellen)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7"/>
      <w:r w:rsidRPr="00A448AC">
        <w:rPr>
          <w:rFonts w:ascii="Arial" w:hAnsi="Arial" w:cs="Arial"/>
          <w:b/>
          <w:bCs/>
          <w:color w:val="303F4C"/>
          <w:lang w:val="en-US"/>
        </w:rPr>
        <w:t>Lbr VNG 19-067, LOGA Cao Ontslagcommissie, zaaknr 607671, 20190916 (in handen van de werkgeverscommissie stellen)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19-067, LOGA Cao Ontslagcommissie, zaaknr 607671,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br-VNG-19-067-LOGA-Cao-Ontslagcommissie-zaaknr-607671-20190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